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Zhlav"/>
        <w:tabs>
          <w:tab w:val="clear" w:pos="4536"/>
          <w:tab w:val="clear" w:pos="9072"/>
        </w:tabs>
        <w:rPr/>
      </w:pPr>
      <w:r>
        <w:rPr/>
      </w:r>
    </w:p>
    <w:p>
      <w:pPr>
        <w:pStyle w:val="Zhlav"/>
        <w:tabs>
          <w:tab w:val="clear" w:pos="4536"/>
          <w:tab w:val="clear" w:pos="9072"/>
        </w:tabs>
        <w:rPr/>
      </w:pPr>
      <w:r>
        <w:rPr/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OBEC Sendražice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Zastupitelstvo obce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/>
        <w:drawing>
          <wp:inline distT="0" distB="0" distL="0" distR="0">
            <wp:extent cx="632460" cy="705485"/>
            <wp:effectExtent l="0" t="0" r="0" b="0"/>
            <wp:docPr id="1" name="Obrázek 1" descr="Znak obce Sendražice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nak obce Sendražice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Obecně závazná vyhláška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místním poplatku za obecní systém odpadového hospodářství</w:t>
      </w:r>
    </w:p>
    <w:p>
      <w:pPr>
        <w:pStyle w:val="Nzevzkona"/>
        <w:tabs>
          <w:tab w:val="clear" w:pos="708"/>
          <w:tab w:val="left" w:pos="2977" w:leader="none"/>
        </w:tabs>
        <w:spacing w:lineRule="auto" w:line="264" w:before="0" w:after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zevzkona"/>
        <w:tabs>
          <w:tab w:val="clear" w:pos="708"/>
          <w:tab w:val="left" w:pos="2977" w:leader="none"/>
        </w:tabs>
        <w:spacing w:lineRule="auto" w:line="264" w:before="0" w:after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 xml:space="preserve">Zastupitelstvo obce Sendražice se na svém zasedání dne </w:t>
      </w:r>
      <w:r>
        <w:rPr>
          <w:rFonts w:cs="Arial" w:ascii="Arial" w:hAnsi="Arial"/>
          <w:b w:val="false"/>
          <w:sz w:val="22"/>
          <w:szCs w:val="22"/>
        </w:rPr>
        <w:t>19.12.2022</w:t>
      </w:r>
      <w:r>
        <w:rPr>
          <w:rFonts w:cs="Arial" w:ascii="Arial" w:hAnsi="Arial"/>
          <w:b w:val="false"/>
          <w:sz w:val="22"/>
          <w:szCs w:val="22"/>
        </w:rPr>
        <w:t xml:space="preserve"> usnesením č. </w:t>
      </w:r>
      <w:r>
        <w:rPr>
          <w:rFonts w:cs="Arial" w:ascii="Arial" w:hAnsi="Arial"/>
          <w:b w:val="false"/>
          <w:sz w:val="22"/>
          <w:szCs w:val="22"/>
        </w:rPr>
        <w:t xml:space="preserve">3/121922   </w:t>
      </w:r>
      <w:r>
        <w:rPr>
          <w:rFonts w:cs="Arial" w:ascii="Arial" w:hAnsi="Arial"/>
          <w:b w:val="false"/>
          <w:sz w:val="22"/>
          <w:szCs w:val="22"/>
        </w:rPr>
        <w:t>usneslo vydat na základě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§ 14 zákona č. 565/1990 Sb., o místních poplatcích, ve znění pozdějších předpisů (dále jen „zákon o místních poplatcích“), a v souladu s § 10 písm. d) </w:t>
        <w:br/>
        <w:t xml:space="preserve">a § 84 odst. 2 písm. h) zákona č. 128/2000 Sb., o obcích (obecní zřízení), ve znění pozdějších předpisů, tuto obecně závaznou vyhlášku (dále jen „tato vyhláška“): </w:t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Úvodní ustanovení</w:t>
      </w:r>
    </w:p>
    <w:p>
      <w:pPr>
        <w:pStyle w:val="Odsazentlatextu"/>
        <w:numPr>
          <w:ilvl w:val="0"/>
          <w:numId w:val="1"/>
        </w:numPr>
        <w:spacing w:lineRule="auto" w:line="264" w:before="0" w:after="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Obec Sendražice touto vyhláškou zavádí místní poplatek za obecní systém odpadového hospodářství (dále jen „poplatek“).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Správcem poplatku je Obecní úřad Sendražice.</w:t>
      </w:r>
      <w:r>
        <w:rPr>
          <w:rStyle w:val="Ukotvenpoznmkypodarou"/>
          <w:rFonts w:cs="Arial" w:ascii="Arial" w:hAnsi="Arial"/>
          <w:sz w:val="22"/>
          <w:szCs w:val="22"/>
          <w:vertAlign w:val="superscript"/>
        </w:rPr>
        <w:footnoteReference w:id="2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2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Poplatník</w:t>
      </w:r>
    </w:p>
    <w:p>
      <w:pPr>
        <w:pStyle w:val="Normal"/>
        <w:numPr>
          <w:ilvl w:val="0"/>
          <w:numId w:val="8"/>
        </w:numPr>
        <w:spacing w:lineRule="auto" w:line="264" w:before="120"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Poplatníkem poplatku je</w:t>
      </w:r>
      <w:r>
        <w:rPr>
          <w:rStyle w:val="Ukotvenpoznmkypodarou"/>
          <w:rFonts w:cs="Arial" w:ascii="Arial" w:hAnsi="Arial"/>
          <w:sz w:val="22"/>
          <w:szCs w:val="22"/>
        </w:rPr>
        <w:footnoteReference w:id="3"/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Default"/>
        <w:spacing w:before="0"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a) fyzická osoba přihlášená v obci</w:t>
      </w:r>
      <w:r>
        <w:rPr>
          <w:rStyle w:val="Ukotvenpoznmky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>
      <w:pPr>
        <w:pStyle w:val="Default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>
      <w:pPr>
        <w:pStyle w:val="Normal"/>
        <w:numPr>
          <w:ilvl w:val="0"/>
          <w:numId w:val="8"/>
        </w:numPr>
        <w:spacing w:lineRule="auto" w:line="264" w:before="120"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5"/>
      </w:r>
    </w:p>
    <w:p>
      <w:pPr>
        <w:pStyle w:val="Slalnk"/>
        <w:spacing w:before="480" w:after="60"/>
        <w:ind w:left="4185" w:firstLine="63"/>
        <w:jc w:val="left"/>
        <w:rPr>
          <w:rFonts w:ascii="Arial" w:hAnsi="Arial" w:cs="Arial"/>
        </w:rPr>
      </w:pPr>
      <w:r>
        <w:rPr>
          <w:rFonts w:cs="Arial" w:ascii="Arial" w:hAnsi="Arial"/>
        </w:rPr>
        <w:t>Čl. 3</w:t>
      </w:r>
    </w:p>
    <w:p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cs="Arial" w:ascii="Arial" w:hAnsi="Arial"/>
        </w:rPr>
        <w:t>Poplatkové období</w:t>
      </w:r>
    </w:p>
    <w:p>
      <w:pPr>
        <w:pStyle w:val="Slalnk"/>
        <w:spacing w:before="480" w:after="60"/>
        <w:ind w:firstLine="708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Poplatkovým obdobím poplatku je kalendářní rok.</w:t>
      </w:r>
      <w:r>
        <w:rPr>
          <w:rStyle w:val="Ukotvenpoznmkypodarou"/>
          <w:rFonts w:cs="Arial" w:ascii="Arial" w:hAnsi="Arial"/>
          <w:b w:val="false"/>
          <w:bCs w:val="false"/>
          <w:sz w:val="22"/>
          <w:szCs w:val="22"/>
        </w:rPr>
        <w:footnoteReference w:id="6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4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Ohlašovací povinnost</w:t>
      </w:r>
    </w:p>
    <w:p>
      <w:pPr>
        <w:pStyle w:val="Normal"/>
        <w:numPr>
          <w:ilvl w:val="0"/>
          <w:numId w:val="11"/>
        </w:numPr>
        <w:spacing w:lineRule="auto" w:line="264" w:before="120" w:after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Poplatník je povinen podat správci poplatku ohlášení nejpozději do 15  dnů ode dne vzniku své poplatkové povinnosti. </w:t>
      </w:r>
    </w:p>
    <w:p>
      <w:pPr>
        <w:pStyle w:val="Normal"/>
        <w:numPr>
          <w:ilvl w:val="0"/>
          <w:numId w:val="11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ohlášení poplatník uvede</w:t>
      </w:r>
      <w:r>
        <w:rPr>
          <w:rStyle w:val="Ukotvenpoznmkypodarou"/>
          <w:rFonts w:cs="Arial" w:ascii="Arial" w:hAnsi="Arial"/>
          <w:sz w:val="22"/>
          <w:szCs w:val="22"/>
        </w:rPr>
        <w:footnoteReference w:id="7"/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1"/>
          <w:numId w:val="11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  <w:br/>
        <w:t>v poplatkových věcech,</w:t>
      </w:r>
    </w:p>
    <w:p>
      <w:pPr>
        <w:pStyle w:val="Normal"/>
        <w:numPr>
          <w:ilvl w:val="1"/>
          <w:numId w:val="11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>
      <w:pPr>
        <w:pStyle w:val="Normal"/>
        <w:numPr>
          <w:ilvl w:val="1"/>
          <w:numId w:val="11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vyhlášky, též identifikační údaje nemovité věci zahrnující byt, rodinný dům nebo stavbu pro rodinnou rekreaci podle katastru nemovitostí.</w:t>
      </w:r>
    </w:p>
    <w:p>
      <w:pPr>
        <w:pStyle w:val="Normal"/>
        <w:numPr>
          <w:ilvl w:val="0"/>
          <w:numId w:val="11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8"/>
      </w:r>
    </w:p>
    <w:p>
      <w:pPr>
        <w:pStyle w:val="Normal"/>
        <w:numPr>
          <w:ilvl w:val="0"/>
          <w:numId w:val="11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Dojde-li ke změně údajů uvedených v ohlášení, je poplatník povinen tuto změnu oznámit do 15 dnů </w:t>
      </w:r>
      <w:r>
        <w:rPr>
          <w:rFonts w:cs="Arial" w:ascii="Arial" w:hAnsi="Arial"/>
          <w:sz w:val="20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ode dne, kdy nastala.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9"/>
      </w:r>
    </w:p>
    <w:p>
      <w:pPr>
        <w:pStyle w:val="Normal"/>
        <w:numPr>
          <w:ilvl w:val="0"/>
          <w:numId w:val="11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0"/>
      </w:r>
    </w:p>
    <w:p>
      <w:pPr>
        <w:pStyle w:val="Slalnk"/>
        <w:spacing w:before="480" w:after="60"/>
        <w:rPr>
          <w:rFonts w:ascii="Arial" w:hAnsi="Arial" w:cs="Arial"/>
          <w:i/>
          <w:i/>
        </w:rPr>
      </w:pPr>
      <w:r>
        <w:rPr>
          <w:rFonts w:cs="Arial" w:ascii="Arial" w:hAnsi="Arial"/>
        </w:rPr>
        <w:t>Čl. 5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Sazba poplatku</w:t>
      </w:r>
    </w:p>
    <w:p>
      <w:pPr>
        <w:pStyle w:val="Normal"/>
        <w:numPr>
          <w:ilvl w:val="0"/>
          <w:numId w:val="4"/>
        </w:numPr>
        <w:spacing w:lineRule="auto" w:line="264" w:before="120" w:after="6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Sazba poplatku činí </w:t>
      </w:r>
      <w:r>
        <w:rPr>
          <w:rFonts w:cs="Arial" w:ascii="Arial" w:hAnsi="Arial"/>
          <w:b/>
          <w:sz w:val="22"/>
          <w:szCs w:val="22"/>
        </w:rPr>
        <w:t>750</w:t>
      </w:r>
      <w:r>
        <w:rPr>
          <w:rFonts w:cs="Arial" w:ascii="Arial" w:hAnsi="Arial"/>
          <w:sz w:val="22"/>
          <w:szCs w:val="22"/>
        </w:rPr>
        <w:t xml:space="preserve"> Kč.</w:t>
      </w:r>
    </w:p>
    <w:p>
      <w:pPr>
        <w:pStyle w:val="Normal"/>
        <w:numPr>
          <w:ilvl w:val="0"/>
          <w:numId w:val="4"/>
        </w:numPr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se v případě, že poplatková povinnost vznikla z důvodu přihlášení fyzické osoby v obci, snižuje o jednu dvanáctinu za každý kalendářní měsíc, na jehož konci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1"/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není tato fyzická osoba přihlášena v obci, nebo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je tato fyzická osoba od poplatku osvobozena.</w:t>
      </w:r>
    </w:p>
    <w:p>
      <w:pPr>
        <w:pStyle w:val="Normal"/>
        <w:numPr>
          <w:ilvl w:val="0"/>
          <w:numId w:val="4"/>
        </w:numPr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2"/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je v této nemovité věci přihlášena alespoň 1 fyzická osoba,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poplatník nevlastní tuto nemovitou věc, nebo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 je poplatník od poplatku osvobozen</w:t>
      </w:r>
      <w:r>
        <w:rPr>
          <w:rFonts w:cs="Arial" w:ascii="Arial" w:hAnsi="Arial"/>
          <w:i/>
          <w:color w:val="0070C0"/>
          <w:sz w:val="22"/>
          <w:szCs w:val="22"/>
        </w:rPr>
        <w:t>.</w:t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6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Splatnost poplatku</w:t>
      </w:r>
    </w:p>
    <w:p>
      <w:pPr>
        <w:pStyle w:val="Normal"/>
        <w:spacing w:lineRule="auto" w:line="264" w:before="120" w:after="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i/>
          <w:color w:val="0070C0"/>
          <w:sz w:val="22"/>
          <w:szCs w:val="22"/>
        </w:rPr>
      </w:r>
    </w:p>
    <w:p>
      <w:pPr>
        <w:pStyle w:val="Normal"/>
        <w:numPr>
          <w:ilvl w:val="0"/>
          <w:numId w:val="5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Poplatek je splatný jednorázově, a to nejpozději do 28. 2.  příslušného kalendářního roku. </w:t>
      </w:r>
    </w:p>
    <w:p>
      <w:pPr>
        <w:pStyle w:val="Normal"/>
        <w:numPr>
          <w:ilvl w:val="0"/>
          <w:numId w:val="5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Vznikne-li poplatková povinnost po datu splatnosti uvedeném v odstavci 1, je poplatek splatný nejpozději do 15. dne měsíce, který následuje po měsíci, ve kterém poplatková povinnost vznikla. </w:t>
      </w:r>
    </w:p>
    <w:p>
      <w:pPr>
        <w:pStyle w:val="Normal"/>
        <w:numPr>
          <w:ilvl w:val="0"/>
          <w:numId w:val="5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Lhůta splatnosti neskončí poplatníkovi dříve než lhůta pro podání ohlášení podle čl. 4 odst. 1 této vyhlášky.  </w:t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7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 xml:space="preserve">Osvobození </w:t>
      </w:r>
    </w:p>
    <w:p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Ukotvenpoznmkypodarou"/>
          <w:sz w:val="22"/>
          <w:szCs w:val="22"/>
        </w:rPr>
        <w:footnoteReference w:id="13"/>
      </w:r>
      <w:r>
        <w:rPr>
          <w:sz w:val="22"/>
          <w:szCs w:val="22"/>
        </w:rPr>
        <w:t xml:space="preserve"> </w:t>
      </w:r>
    </w:p>
    <w:p>
      <w:pPr>
        <w:pStyle w:val="Default"/>
        <w:ind w:left="567" w:hanging="0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>
      <w:pPr>
        <w:pStyle w:val="Default"/>
        <w:spacing w:before="0" w:after="53"/>
        <w:ind w:left="567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>
      <w:pPr>
        <w:pStyle w:val="Default"/>
        <w:spacing w:before="0" w:after="53"/>
        <w:ind w:left="567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>
      <w:pPr>
        <w:pStyle w:val="Default"/>
        <w:spacing w:before="0" w:after="53"/>
        <w:ind w:left="567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>
      <w:pPr>
        <w:pStyle w:val="Default"/>
        <w:ind w:left="567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>
      <w:pPr>
        <w:pStyle w:val="Normal"/>
        <w:numPr>
          <w:ilvl w:val="0"/>
          <w:numId w:val="6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Od poplatku se osvobozuje osoba, které poplatková povinnost vznikla z důvodu přihlášení v obci a která</w:t>
      </w:r>
    </w:p>
    <w:p>
      <w:pPr>
        <w:pStyle w:val="Normal"/>
        <w:numPr>
          <w:ilvl w:val="1"/>
          <w:numId w:val="3"/>
        </w:numPr>
        <w:spacing w:lineRule="auto" w:line="2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má místo pobytu v sídle ohlašovny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4"/>
      </w:r>
      <w:r>
        <w:rPr>
          <w:rFonts w:cs="Arial" w:ascii="Arial" w:hAnsi="Arial"/>
          <w:sz w:val="22"/>
          <w:szCs w:val="22"/>
        </w:rPr>
        <w:t>, pokud se celý rok zdržuje mimo území obce,</w:t>
      </w:r>
    </w:p>
    <w:p>
      <w:pPr>
        <w:pStyle w:val="Normal"/>
        <w:numPr>
          <w:ilvl w:val="1"/>
          <w:numId w:val="3"/>
        </w:numPr>
        <w:spacing w:lineRule="auto" w:line="2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pokud je zároveň poplatníkem dle čl. 2 odst. 1 písm. b), a to od poplatku dle čl. 2 odst. 1 písm. b) za podmínky, že i ostatní případní spoluvlastnici jsou přihlášeni k pobytu v obci.</w:t>
      </w:r>
    </w:p>
    <w:p>
      <w:pPr>
        <w:pStyle w:val="Normal"/>
        <w:tabs>
          <w:tab w:val="clear" w:pos="708"/>
          <w:tab w:val="left" w:pos="3780" w:leader="none"/>
        </w:tabs>
        <w:spacing w:lineRule="auto" w:line="264"/>
        <w:jc w:val="both"/>
        <w:rPr>
          <w:rFonts w:ascii="Arial" w:hAnsi="Arial" w:cs="Arial"/>
          <w:i/>
          <w:i/>
          <w:color w:val="0070C0"/>
          <w:sz w:val="20"/>
          <w:szCs w:val="20"/>
        </w:rPr>
      </w:pPr>
      <w:r>
        <w:rPr>
          <w:rFonts w:cs="Arial" w:ascii="Arial" w:hAnsi="Arial"/>
          <w:i/>
          <w:color w:val="0070C0"/>
          <w:sz w:val="20"/>
          <w:szCs w:val="20"/>
        </w:rPr>
      </w:r>
    </w:p>
    <w:p>
      <w:pPr>
        <w:pStyle w:val="Normal"/>
        <w:spacing w:lineRule="auto" w:line="264" w:before="120" w:after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(3)</w:t>
        <w:tab/>
        <w:t>V případě, že poplatník nesplní povinnost ohlásit údaj rozhodný pro osvobození nebo úlevu ve lhůtách stanovených touto vyhláškou nebo zákonem, nárok na osvobození nebo úlevu zaniká.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5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8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Navýšení poplatku</w:t>
      </w:r>
      <w:r>
        <w:rPr/>
        <w:t xml:space="preserve"> </w:t>
      </w:r>
    </w:p>
    <w:p>
      <w:pPr>
        <w:pStyle w:val="Normal"/>
        <w:numPr>
          <w:ilvl w:val="0"/>
          <w:numId w:val="7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6"/>
      </w:r>
    </w:p>
    <w:p>
      <w:pPr>
        <w:pStyle w:val="Normal"/>
        <w:numPr>
          <w:ilvl w:val="0"/>
          <w:numId w:val="7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7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9</w:t>
      </w:r>
    </w:p>
    <w:p>
      <w:pPr>
        <w:pStyle w:val="Slalnk"/>
        <w:spacing w:before="60" w:after="160"/>
        <w:rPr>
          <w:rFonts w:ascii="Arial" w:hAnsi="Arial" w:cs="Arial"/>
        </w:rPr>
      </w:pPr>
      <w:r>
        <w:rPr>
          <w:rFonts w:cs="Arial" w:ascii="Arial" w:hAnsi="Arial"/>
        </w:rPr>
        <w:t>Odpovědnost za zaplacení poplatku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8"/>
      </w:r>
    </w:p>
    <w:p>
      <w:pPr>
        <w:pStyle w:val="Normal"/>
        <w:numPr>
          <w:ilvl w:val="0"/>
          <w:numId w:val="9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Vznikne-li nedoplatek na poplatku poplatníkovi, který je ke dni splatnosti nezletilý </w:t>
        <w:br/>
        <w:t xml:space="preserve">a nenabyl plné svéprávnosti nebo který je ke dni splatnosti omezen ve svéprávnosti </w:t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>
      <w:pPr>
        <w:pStyle w:val="Normal"/>
        <w:numPr>
          <w:ilvl w:val="0"/>
          <w:numId w:val="9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případě podle odstavce 1 vyměří správce poplatku poplatek zákonnému zástupci nebo opatrovníkovi poplatníka.</w:t>
      </w:r>
    </w:p>
    <w:p>
      <w:pPr>
        <w:pStyle w:val="Normal"/>
        <w:numPr>
          <w:ilvl w:val="0"/>
          <w:numId w:val="9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Je-li zákonných zástupců nebo opatrovníků více, jsou povinni plnit poplatkovou povinnost společně a nerozdílně.</w:t>
      </w:r>
    </w:p>
    <w:p>
      <w:pPr>
        <w:pStyle w:val="Slalnk"/>
        <w:spacing w:before="480" w:after="60"/>
        <w:ind w:left="3540" w:firstLine="708"/>
        <w:jc w:val="left"/>
        <w:rPr>
          <w:rFonts w:ascii="Arial" w:hAnsi="Arial" w:cs="Arial"/>
        </w:rPr>
      </w:pPr>
      <w:r>
        <w:rPr>
          <w:rFonts w:cs="Arial" w:ascii="Arial" w:hAnsi="Arial"/>
        </w:rPr>
        <w:t>Čl. 10</w:t>
      </w:r>
    </w:p>
    <w:p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cs="Arial" w:ascii="Arial" w:hAnsi="Arial"/>
        </w:rPr>
        <w:t>Společná ustanovení</w:t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9"/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20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11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Přechodné ustanovení</w:t>
      </w:r>
    </w:p>
    <w:p>
      <w:pPr>
        <w:pStyle w:val="Normal"/>
        <w:spacing w:lineRule="auto" w:line="264" w:before="120" w:after="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i/>
          <w:color w:val="0070C0"/>
          <w:sz w:val="22"/>
          <w:szCs w:val="22"/>
        </w:rPr>
      </w:r>
    </w:p>
    <w:p>
      <w:pPr>
        <w:pStyle w:val="Normal"/>
        <w:spacing w:lineRule="auto" w:line="264" w:before="120" w:after="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Poplatkové povinnosti vzniklé před nabytím účinnosti této vyhlášky se posuzují podle dosavadních právních předpisů.</w:t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12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Zrušovací ustanovení</w:t>
      </w:r>
    </w:p>
    <w:p>
      <w:pPr>
        <w:pStyle w:val="Nzvylnk"/>
        <w:ind w:left="567" w:hanging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Ruší se obecně závazná vyhláška č. 1/2021, o místním poplatku za obecní odpadové hospodářství, ze dne 13. 12. 2021.</w:t>
      </w:r>
      <w:bookmarkStart w:id="0" w:name="_GoBack"/>
      <w:bookmarkEnd w:id="0"/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13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Účinnost</w:t>
      </w:r>
    </w:p>
    <w:p>
      <w:pPr>
        <w:pStyle w:val="Normal"/>
        <w:spacing w:lineRule="auto" w:line="288" w:before="120"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Tato vyhláška nabývá účinnosti dnem 1. 1. 2023. </w:t>
      </w:r>
    </w:p>
    <w:p>
      <w:pPr>
        <w:pStyle w:val="Nzvylnk"/>
        <w:jc w:val="left"/>
        <w:rPr>
          <w:rFonts w:ascii="Arial" w:hAnsi="Arial" w:cs="Arial"/>
          <w:b w:val="false"/>
          <w:b w:val="false"/>
          <w:bCs w:val="false"/>
          <w:i/>
          <w:i/>
          <w:color w:val="1A4BD6"/>
          <w:szCs w:val="24"/>
        </w:rPr>
      </w:pPr>
      <w:r>
        <w:rPr>
          <w:rFonts w:cs="Arial" w:ascii="Arial" w:hAnsi="Arial"/>
          <w:b w:val="false"/>
          <w:bCs w:val="false"/>
          <w:i/>
          <w:color w:val="1A4BD6"/>
          <w:szCs w:val="24"/>
        </w:rPr>
      </w:r>
    </w:p>
    <w:p>
      <w:pPr>
        <w:pStyle w:val="Normal"/>
        <w:spacing w:lineRule="auto" w:line="264" w:before="120"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440" w:leader="none"/>
          <w:tab w:val="left" w:pos="7020" w:leader="none"/>
        </w:tabs>
        <w:spacing w:lineRule="auto" w:line="264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ab/>
      </w:r>
    </w:p>
    <w:p>
      <w:pPr>
        <w:pStyle w:val="Tlotextu"/>
        <w:tabs>
          <w:tab w:val="clear" w:pos="708"/>
          <w:tab w:val="left" w:pos="720" w:leader="none"/>
          <w:tab w:val="left" w:pos="6120" w:leader="none"/>
        </w:tabs>
        <w:spacing w:lineRule="auto" w:line="264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ab/>
        <w:t>...................................</w:t>
        <w:tab/>
        <w:t>..........................................</w:t>
      </w:r>
    </w:p>
    <w:p>
      <w:pPr>
        <w:pStyle w:val="Tlotextu"/>
        <w:tabs>
          <w:tab w:val="clear" w:pos="708"/>
          <w:tab w:val="left" w:pos="1080" w:leader="none"/>
          <w:tab w:val="left" w:pos="6660" w:leader="none"/>
        </w:tabs>
        <w:spacing w:lineRule="auto" w:line="264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Stanislav Špás v. r.</w:t>
        <w:tab/>
        <w:t>František Matěna v. r.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místostarosta</w:t>
        <w:tab/>
        <w:t>starosta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120" w:after="0"/>
        <w:rPr>
          <w:rFonts w:ascii="Arial" w:hAnsi="Arial" w:cs="Arial"/>
          <w:sz w:val="22"/>
          <w:szCs w:val="22"/>
        </w:rPr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17" w:right="1417" w:gutter="0" w:header="0" w:top="993" w:footer="708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Fonts w:cs="Arial" w:ascii="Arial" w:hAnsi="Arial"/>
          <w:sz w:val="18"/>
          <w:szCs w:val="18"/>
        </w:rPr>
        <w:t>§ 15 odst. 1 zákona, o místních poplatcích</w:t>
      </w:r>
    </w:p>
  </w:footnote>
  <w:footnote w:id="3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Style w:val="FootnoteCharacters"/>
          <w:position w:val="0"/>
          <w:sz w:val="20"/>
          <w:vertAlign w:val="baseline"/>
        </w:rPr>
        <w:t>§</w:t>
      </w:r>
      <w:r>
        <w:rPr>
          <w:rFonts w:cs="Arial" w:ascii="Arial" w:hAnsi="Arial"/>
          <w:sz w:val="18"/>
          <w:szCs w:val="18"/>
        </w:rPr>
        <w:t xml:space="preserve"> 10e zákona o místních poplatcích</w:t>
      </w:r>
    </w:p>
  </w:footnote>
  <w:footnote w:id="4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Za přihlášení fyzické osoby se podle § 16c zákona o místních poplatcích považuje 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a) přihlášení k trvalému pobytu podle zákona o evidenci obyvatel, nebo  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 kterému byl povolen trvalý pobyt,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 který na území České republiky pobývá přechodně po dobu delší než 3 měsíce,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Style w:val="FootnoteCharacters"/>
          <w:position w:val="0"/>
          <w:sz w:val="20"/>
          <w:vertAlign w:val="baseline"/>
        </w:rPr>
        <w:t>§</w:t>
      </w:r>
      <w:r>
        <w:rPr>
          <w:rFonts w:cs="Arial" w:ascii="Arial" w:hAnsi="Arial"/>
          <w:sz w:val="18"/>
          <w:szCs w:val="18"/>
        </w:rPr>
        <w:t xml:space="preserve"> 10p zákona o místních poplatcích</w:t>
      </w:r>
    </w:p>
  </w:footnote>
  <w:footnote w:id="6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10o odst. 1 zákona o místních poplatcích</w:t>
      </w:r>
    </w:p>
  </w:footnote>
  <w:footnote w:id="7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2 zákona o místních poplatcích</w:t>
      </w:r>
    </w:p>
  </w:footnote>
  <w:footnote w:id="8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3 zákona o místních poplatcích</w:t>
      </w:r>
    </w:p>
  </w:footnote>
  <w:footnote w:id="9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4 zákona o místních poplatcích</w:t>
      </w:r>
    </w:p>
  </w:footnote>
  <w:footnote w:id="10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14a odst. 5 zákona o místních poplatcích</w:t>
      </w:r>
    </w:p>
  </w:footnote>
  <w:footnote w:id="11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 </w:t>
      </w:r>
      <w:r>
        <w:rPr>
          <w:rFonts w:cs="Arial" w:ascii="Arial" w:hAnsi="Arial"/>
          <w:sz w:val="18"/>
          <w:szCs w:val="18"/>
        </w:rPr>
        <w:t>§ 10h odst. 2 ve spojení s § 10o odst. 2 zákona o místních poplatcích</w:t>
      </w:r>
    </w:p>
  </w:footnote>
  <w:footnote w:id="1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 xml:space="preserve">§ </w:t>
      </w:r>
      <w:r>
        <w:rPr>
          <w:rFonts w:cs="Arial" w:ascii="Arial" w:hAnsi="Arial"/>
          <w:sz w:val="18"/>
          <w:szCs w:val="18"/>
        </w:rPr>
        <w:t>10h odst. 3 ve spojení s § 10o odst. 2 zákona o místních poplatcích</w:t>
      </w:r>
    </w:p>
  </w:footnote>
  <w:footnote w:id="13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10g zákona o místních poplatcích</w:t>
      </w:r>
    </w:p>
  </w:footnote>
  <w:footnote w:id="14">
    <w:p>
      <w:pPr>
        <w:pStyle w:val="Poznmkapodarou"/>
        <w:tabs>
          <w:tab w:val="clear" w:pos="708"/>
          <w:tab w:val="left" w:pos="426" w:leader="none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ab/>
        <w:t xml:space="preserve"> </w:t>
      </w:r>
      <w:r>
        <w:rPr>
          <w:rFonts w:cs="Arial" w:ascii="Arial" w:hAnsi="Arial"/>
          <w:sz w:val="18"/>
          <w:szCs w:val="18"/>
        </w:rPr>
        <w:t>§ 10 odst. 5 a § 12 zákona č. 133/2000 Sb., o evidenci obyvatel a rodných číslech, ve znění pozdějších předpisů</w:t>
      </w:r>
    </w:p>
  </w:footnote>
  <w:footnote w:id="15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6 zákona o místních poplatcích</w:t>
      </w:r>
    </w:p>
  </w:footnote>
  <w:footnote w:id="16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11 odst. 1 zákona o místních poplatcích</w:t>
      </w:r>
    </w:p>
  </w:footnote>
  <w:footnote w:id="17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11 odst. 3 zákona o místních poplatcích</w:t>
      </w:r>
    </w:p>
  </w:footnote>
  <w:footnote w:id="18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12 zákona o místních poplatcích</w:t>
      </w:r>
    </w:p>
  </w:footnote>
  <w:footnote w:id="19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10q zákona o místních poplatcích</w:t>
      </w:r>
    </w:p>
  </w:footnote>
  <w:footnote w:id="20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i w:val="false"/>
        <w:b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/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i w:val="false"/>
        <w:b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i w:val="false"/>
        <w:b w:val="false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i w:val="false"/>
        <w:b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i w:val="false"/>
        <w:b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i w:val="false"/>
        <w:b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(%1)"/>
      <w:lvlJc w:val="left"/>
      <w:pPr>
        <w:tabs>
          <w:tab w:val="num" w:pos="0"/>
        </w:tabs>
        <w:ind w:left="1353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/>
    </w:lvl>
  </w:abstractNum>
  <w:abstractNum w:abstractNumId="9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i w:val="false"/>
        <w:b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i w:val="false"/>
        <w:b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i w:val="false"/>
        <w:b w:val="false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16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next w:val="Normal"/>
    <w:link w:val="Nadpis2Char"/>
    <w:qFormat/>
    <w:rsid w:val="00131160"/>
    <w:pPr>
      <w:keepNext w:val="true"/>
      <w:jc w:val="both"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semiHidden/>
    <w:qFormat/>
    <w:rsid w:val="00131160"/>
    <w:rPr>
      <w:sz w:val="24"/>
      <w:szCs w:val="24"/>
      <w:u w:val="single"/>
      <w:lang w:val="cs-CZ" w:eastAsia="cs-CZ" w:bidi="ar-SA"/>
    </w:rPr>
  </w:style>
  <w:style w:type="character" w:styleId="ZkladntextodsazenChar" w:customStyle="1">
    <w:name w:val="Základní text odsazený Char"/>
    <w:semiHidden/>
    <w:qFormat/>
    <w:rsid w:val="00131160"/>
    <w:rPr>
      <w:sz w:val="24"/>
      <w:szCs w:val="24"/>
      <w:lang w:val="cs-CZ" w:eastAsia="cs-CZ" w:bidi="ar-SA"/>
    </w:rPr>
  </w:style>
  <w:style w:type="character" w:styleId="ZhlavChar" w:customStyle="1">
    <w:name w:val="Záhlaví Char"/>
    <w:semiHidden/>
    <w:qFormat/>
    <w:rsid w:val="00131160"/>
    <w:rPr>
      <w:sz w:val="24"/>
      <w:szCs w:val="24"/>
      <w:lang w:val="cs-CZ" w:eastAsia="cs-CZ" w:bidi="ar-SA"/>
    </w:rPr>
  </w:style>
  <w:style w:type="character" w:styleId="ZkladntextChar" w:customStyle="1">
    <w:name w:val="Základní text Char"/>
    <w:semiHidden/>
    <w:qFormat/>
    <w:rsid w:val="00131160"/>
    <w:rPr>
      <w:sz w:val="24"/>
      <w:szCs w:val="24"/>
      <w:lang w:val="cs-CZ" w:eastAsia="cs-CZ" w:bidi="ar-SA"/>
    </w:rPr>
  </w:style>
  <w:style w:type="character" w:styleId="TextpoznpodarouChar" w:customStyle="1">
    <w:name w:val="Text pozn. pod čarou Char"/>
    <w:semiHidden/>
    <w:qFormat/>
    <w:rsid w:val="00131160"/>
    <w:rPr>
      <w:lang w:val="cs-CZ" w:eastAsia="cs-CZ" w:bidi="ar-SA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semiHidden/>
    <w:qFormat/>
    <w:rsid w:val="00131160"/>
    <w:rPr>
      <w:vertAlign w:val="superscript"/>
    </w:rPr>
  </w:style>
  <w:style w:type="character" w:styleId="ZpatChar" w:customStyle="1">
    <w:name w:val="Zápatí Char"/>
    <w:uiPriority w:val="99"/>
    <w:qFormat/>
    <w:rsid w:val="00b10e4f"/>
    <w:rPr>
      <w:sz w:val="24"/>
      <w:szCs w:val="24"/>
    </w:rPr>
  </w:style>
  <w:style w:type="character" w:styleId="Annotationreference">
    <w:name w:val="annotation reference"/>
    <w:qFormat/>
    <w:rsid w:val="00c119a6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qFormat/>
    <w:rsid w:val="00c119a6"/>
    <w:rPr/>
  </w:style>
  <w:style w:type="character" w:styleId="PedmtkomenteChar" w:customStyle="1">
    <w:name w:val="Předmět komentáře Char"/>
    <w:link w:val="Annotationsubject"/>
    <w:qFormat/>
    <w:rsid w:val="00c119a6"/>
    <w:rPr>
      <w:b/>
      <w:bCs/>
    </w:rPr>
  </w:style>
  <w:style w:type="character" w:styleId="TextbublinyChar" w:customStyle="1">
    <w:name w:val="Text bubliny Char"/>
    <w:link w:val="BalloonText"/>
    <w:qFormat/>
    <w:rsid w:val="00c119a6"/>
    <w:rPr>
      <w:rFonts w:ascii="Segoe UI" w:hAnsi="Segoe UI" w:cs="Segoe UI"/>
      <w:sz w:val="18"/>
      <w:szCs w:val="18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131160"/>
    <w:pPr>
      <w:spacing w:before="0" w:after="12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Odsazentlatextu">
    <w:name w:val="Body Text Indent"/>
    <w:basedOn w:val="Normal"/>
    <w:link w:val="ZkladntextodsazenChar"/>
    <w:rsid w:val="00131160"/>
    <w:pPr>
      <w:ind w:left="708" w:firstLine="357"/>
      <w:jc w:val="both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13116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arou">
    <w:name w:val="Footnote Text"/>
    <w:basedOn w:val="Normal"/>
    <w:link w:val="TextpoznpodarouChar"/>
    <w:semiHidden/>
    <w:rsid w:val="00131160"/>
    <w:pPr/>
    <w:rPr>
      <w:sz w:val="20"/>
      <w:szCs w:val="20"/>
    </w:rPr>
  </w:style>
  <w:style w:type="paragraph" w:styleId="Nzevzkona" w:customStyle="1">
    <w:name w:val="název zákona"/>
    <w:basedOn w:val="Nzev"/>
    <w:qFormat/>
    <w:rsid w:val="00131160"/>
    <w:pPr/>
    <w:rPr>
      <w:rFonts w:ascii="Cambria" w:hAnsi="Cambria" w:cs="Cambria"/>
    </w:rPr>
  </w:style>
  <w:style w:type="paragraph" w:styleId="Nzev">
    <w:name w:val="Title"/>
    <w:basedOn w:val="Normal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lalnk" w:customStyle="1">
    <w:name w:val="Čísla článků"/>
    <w:basedOn w:val="Normal"/>
    <w:qFormat/>
    <w:rsid w:val="00131160"/>
    <w:pPr>
      <w:keepNext w:val="true"/>
      <w:keepLines/>
      <w:spacing w:before="360" w:after="60"/>
      <w:jc w:val="center"/>
    </w:pPr>
    <w:rPr>
      <w:b/>
      <w:bCs/>
      <w:szCs w:val="20"/>
    </w:rPr>
  </w:style>
  <w:style w:type="paragraph" w:styleId="Nzvylnk" w:customStyle="1">
    <w:name w:val="Názvy článků"/>
    <w:basedOn w:val="Slalnk"/>
    <w:qFormat/>
    <w:rsid w:val="00131160"/>
    <w:pPr>
      <w:spacing w:before="60" w:after="160"/>
    </w:pPr>
    <w:rPr/>
  </w:style>
  <w:style w:type="paragraph" w:styleId="Oddstavcevlncch" w:customStyle="1">
    <w:name w:val="Oddstavce v článcích"/>
    <w:basedOn w:val="Normal"/>
    <w:next w:val="Normal"/>
    <w:qFormat/>
    <w:rsid w:val="00131160"/>
    <w:pPr>
      <w:keepLines/>
      <w:numPr>
        <w:ilvl w:val="0"/>
        <w:numId w:val="2"/>
      </w:numPr>
      <w:spacing w:before="0" w:after="60"/>
      <w:jc w:val="both"/>
    </w:pPr>
    <w:rPr/>
  </w:style>
  <w:style w:type="paragraph" w:styleId="Zpat">
    <w:name w:val="Footer"/>
    <w:basedOn w:val="Normal"/>
    <w:link w:val="ZpatChar"/>
    <w:uiPriority w:val="99"/>
    <w:rsid w:val="00b10e4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lnIMP" w:customStyle="1">
    <w:name w:val="Normální_IMP"/>
    <w:basedOn w:val="Normal"/>
    <w:qFormat/>
    <w:rsid w:val="00c67504"/>
    <w:pPr>
      <w:suppressAutoHyphens w:val="true"/>
      <w:overflowPunct w:val="true"/>
      <w:spacing w:lineRule="auto" w:line="228"/>
      <w:jc w:val="both"/>
      <w:textAlignment w:val="baseline"/>
    </w:pPr>
    <w:rPr>
      <w:szCs w:val="20"/>
    </w:rPr>
  </w:style>
  <w:style w:type="paragraph" w:styleId="Default" w:customStyle="1">
    <w:name w:val="Default"/>
    <w:qFormat/>
    <w:rsid w:val="00650483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cs-CZ" w:eastAsia="cs-CZ" w:bidi="ar-SA"/>
    </w:rPr>
  </w:style>
  <w:style w:type="paragraph" w:styleId="Annotationtext">
    <w:name w:val="annotation text"/>
    <w:basedOn w:val="Normal"/>
    <w:link w:val="TextkomenteChar"/>
    <w:qFormat/>
    <w:rsid w:val="00c119a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c119a6"/>
    <w:pPr/>
    <w:rPr>
      <w:b/>
      <w:bCs/>
    </w:rPr>
  </w:style>
  <w:style w:type="paragraph" w:styleId="BalloonText">
    <w:name w:val="Balloon Text"/>
    <w:basedOn w:val="Normal"/>
    <w:link w:val="TextbublinyChar"/>
    <w:qFormat/>
    <w:rsid w:val="00c119a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83d"/>
    <w:pPr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Revision">
    <w:name w:val="Revision"/>
    <w:uiPriority w:val="99"/>
    <w:semiHidden/>
    <w:qFormat/>
    <w:rsid w:val="00746ae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ommons.wikimedia.org/wiki/File:Sendra&#382;ice_CoA.png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4649-EF29-4B02-B4D0-74210EEE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LibreOffice/7.3.4.2$Windows_X86_64 LibreOffice_project/728fec16bd5f605073805c3c9e7c4212a0120dc5</Application>
  <AppVersion>15.0000</AppVersion>
  <Pages>5</Pages>
  <Words>1386</Words>
  <Characters>7687</Characters>
  <CharactersWithSpaces>8993</CharactersWithSpaces>
  <Paragraphs>108</Paragraphs>
  <Company>Ministerstvo financí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2022-12-19T13:54:00Z</dcterms:created>
  <dc:creator>Mgr. Lukáš Toman</dc:creator>
  <dc:description/>
  <dc:language>cs-CZ</dc:language>
  <cp:lastModifiedBy/>
  <cp:lastPrinted>2015-10-16T08:54:00Z</cp:lastPrinted>
  <dcterms:modified xsi:type="dcterms:W3CDTF">2022-12-20T10:42:03Z</dcterms:modified>
  <cp:revision>5</cp:revision>
  <dc:subject/>
  <dc:title>Metodický materiál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